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68F7" w:rsidRDefault="001132BB">
      <w:pPr>
        <w:rPr>
          <w:rFonts w:ascii="Arial" w:eastAsia="Arial" w:hAnsi="Arial" w:cs="Arial"/>
          <w:b/>
          <w:sz w:val="36"/>
          <w:szCs w:val="36"/>
        </w:rPr>
      </w:pPr>
      <w:r>
        <w:rPr>
          <w:rFonts w:ascii="Arial" w:eastAsia="Arial" w:hAnsi="Arial" w:cs="Arial"/>
          <w:b/>
          <w:sz w:val="36"/>
          <w:szCs w:val="36"/>
        </w:rPr>
        <w:t>Framework Schedule 3 (Framework Prices)</w:t>
      </w:r>
    </w:p>
    <w:p w:rsidR="004C68F7" w:rsidRDefault="001132BB">
      <w:pPr>
        <w:numPr>
          <w:ilvl w:val="0"/>
          <w:numId w:val="2"/>
        </w:numPr>
        <w:pBdr>
          <w:top w:val="nil"/>
          <w:left w:val="nil"/>
          <w:bottom w:val="nil"/>
          <w:right w:val="nil"/>
          <w:between w:val="nil"/>
        </w:pBdr>
        <w:tabs>
          <w:tab w:val="left" w:pos="0"/>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4C68F7" w:rsidRDefault="001132BB">
      <w:pPr>
        <w:keepNext/>
        <w:numPr>
          <w:ilvl w:val="1"/>
          <w:numId w:val="2"/>
        </w:numPr>
        <w:pBdr>
          <w:top w:val="nil"/>
          <w:left w:val="nil"/>
          <w:bottom w:val="nil"/>
          <w:right w:val="nil"/>
          <w:between w:val="nil"/>
        </w:pBdr>
        <w:tabs>
          <w:tab w:val="left" w:pos="1134"/>
        </w:tabs>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5"/>
        <w:tblW w:w="8235"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5550"/>
      </w:tblGrid>
      <w:tr w:rsidR="004C68F7">
        <w:tc>
          <w:tcPr>
            <w:tcW w:w="2685" w:type="dxa"/>
          </w:tcPr>
          <w:p w:rsidR="004C68F7" w:rsidRDefault="001132BB">
            <w:pPr>
              <w:pBdr>
                <w:top w:val="nil"/>
                <w:left w:val="nil"/>
                <w:bottom w:val="nil"/>
                <w:right w:val="nil"/>
                <w:between w:val="nil"/>
              </w:pBdr>
              <w:tabs>
                <w:tab w:val="left" w:pos="144"/>
              </w:tabs>
              <w:spacing w:after="120"/>
              <w:ind w:left="1440" w:hanging="1265"/>
              <w:rPr>
                <w:rFonts w:ascii="Arial" w:eastAsia="Arial" w:hAnsi="Arial" w:cs="Arial"/>
                <w:b/>
                <w:color w:val="000000"/>
                <w:sz w:val="24"/>
                <w:szCs w:val="24"/>
              </w:rPr>
            </w:pPr>
            <w:r>
              <w:rPr>
                <w:rFonts w:ascii="Arial" w:eastAsia="Arial" w:hAnsi="Arial" w:cs="Arial"/>
                <w:b/>
                <w:color w:val="000000"/>
                <w:sz w:val="24"/>
                <w:szCs w:val="24"/>
              </w:rPr>
              <w:t>“Interchange ++”</w:t>
            </w:r>
          </w:p>
        </w:tc>
        <w:tc>
          <w:tcPr>
            <w:tcW w:w="5550" w:type="dxa"/>
          </w:tcPr>
          <w:p w:rsidR="004C68F7" w:rsidRDefault="001132BB">
            <w:pPr>
              <w:pBdr>
                <w:top w:val="nil"/>
                <w:left w:val="nil"/>
                <w:bottom w:val="nil"/>
                <w:right w:val="nil"/>
                <w:between w:val="nil"/>
              </w:pBdr>
              <w:tabs>
                <w:tab w:val="left" w:pos="144"/>
              </w:tabs>
              <w:spacing w:after="120"/>
              <w:ind w:left="125" w:hanging="1265"/>
              <w:rPr>
                <w:rFonts w:ascii="Arial" w:eastAsia="Arial" w:hAnsi="Arial" w:cs="Arial"/>
                <w:b/>
                <w:color w:val="000000"/>
                <w:sz w:val="24"/>
                <w:szCs w:val="24"/>
              </w:rPr>
            </w:pPr>
            <w:r>
              <w:rPr>
                <w:rFonts w:ascii="Arial" w:eastAsia="Arial" w:hAnsi="Arial" w:cs="Arial"/>
                <w:color w:val="000000"/>
                <w:sz w:val="24"/>
                <w:szCs w:val="24"/>
              </w:rPr>
              <w:t>Where the price charged to a Buyer for card transactions is disaggregated into the price applicable to the Supplier services and to which is added scheme fees and interchange fees</w:t>
            </w:r>
          </w:p>
        </w:tc>
      </w:tr>
      <w:tr w:rsidR="004C68F7">
        <w:tc>
          <w:tcPr>
            <w:tcW w:w="2685" w:type="dxa"/>
          </w:tcPr>
          <w:p w:rsidR="004C68F7" w:rsidRDefault="001132BB">
            <w:pPr>
              <w:pBdr>
                <w:top w:val="nil"/>
                <w:left w:val="nil"/>
                <w:bottom w:val="nil"/>
                <w:right w:val="nil"/>
                <w:between w:val="nil"/>
              </w:pBdr>
              <w:tabs>
                <w:tab w:val="left" w:pos="144"/>
              </w:tabs>
              <w:spacing w:after="120"/>
              <w:ind w:left="1440" w:hanging="1265"/>
              <w:rPr>
                <w:rFonts w:ascii="Arial" w:eastAsia="Arial" w:hAnsi="Arial" w:cs="Arial"/>
                <w:b/>
                <w:color w:val="000000"/>
                <w:sz w:val="24"/>
                <w:szCs w:val="24"/>
              </w:rPr>
            </w:pPr>
            <w:r>
              <w:rPr>
                <w:rFonts w:ascii="Arial" w:eastAsia="Arial" w:hAnsi="Arial" w:cs="Arial"/>
                <w:b/>
                <w:color w:val="000000"/>
                <w:sz w:val="24"/>
                <w:szCs w:val="24"/>
              </w:rPr>
              <w:t>Volume Threshold</w:t>
            </w:r>
          </w:p>
        </w:tc>
        <w:tc>
          <w:tcPr>
            <w:tcW w:w="5550" w:type="dxa"/>
          </w:tcPr>
          <w:p w:rsidR="004C68F7" w:rsidRDefault="001132BB">
            <w:pPr>
              <w:pBdr>
                <w:top w:val="nil"/>
                <w:left w:val="nil"/>
                <w:bottom w:val="nil"/>
                <w:right w:val="nil"/>
                <w:between w:val="nil"/>
              </w:pBdr>
              <w:tabs>
                <w:tab w:val="left" w:pos="144"/>
              </w:tabs>
              <w:spacing w:after="120"/>
              <w:ind w:left="125" w:hanging="1265"/>
              <w:rPr>
                <w:rFonts w:ascii="Arial" w:eastAsia="Arial" w:hAnsi="Arial" w:cs="Arial"/>
                <w:color w:val="000000"/>
                <w:sz w:val="24"/>
                <w:szCs w:val="24"/>
              </w:rPr>
            </w:pPr>
            <w:r>
              <w:rPr>
                <w:rFonts w:ascii="Arial" w:eastAsia="Arial" w:hAnsi="Arial" w:cs="Arial"/>
                <w:color w:val="000000"/>
                <w:sz w:val="24"/>
                <w:szCs w:val="24"/>
              </w:rPr>
              <w:t>a price reduction implemented by the Supplier based on the</w:t>
            </w:r>
            <w:r>
              <w:rPr>
                <w:rFonts w:ascii="Arial" w:eastAsia="Arial" w:hAnsi="Arial" w:cs="Arial"/>
                <w:color w:val="000000"/>
                <w:sz w:val="24"/>
                <w:szCs w:val="24"/>
              </w:rPr>
              <w:t xml:space="preserve"> volume of Buyer transactions during the entire Call Off period</w:t>
            </w:r>
          </w:p>
        </w:tc>
      </w:tr>
    </w:tbl>
    <w:p w:rsidR="004C68F7" w:rsidRDefault="004C68F7">
      <w:pPr>
        <w:keepNext/>
        <w:pBdr>
          <w:top w:val="nil"/>
          <w:left w:val="nil"/>
          <w:bottom w:val="nil"/>
          <w:right w:val="nil"/>
          <w:between w:val="nil"/>
        </w:pBdr>
        <w:tabs>
          <w:tab w:val="left" w:pos="1134"/>
        </w:tabs>
        <w:spacing w:before="120" w:after="120" w:line="240" w:lineRule="auto"/>
        <w:ind w:left="990"/>
        <w:rPr>
          <w:rFonts w:ascii="Arial" w:eastAsia="Arial" w:hAnsi="Arial" w:cs="Arial"/>
          <w:color w:val="000000"/>
          <w:sz w:val="24"/>
          <w:szCs w:val="24"/>
        </w:rPr>
      </w:pPr>
      <w:bookmarkStart w:id="0" w:name="_heading=h.3rdcrjn" w:colFirst="0" w:colLast="0"/>
      <w:bookmarkEnd w:id="0"/>
    </w:p>
    <w:p w:rsidR="004C68F7" w:rsidRDefault="001132BB">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b/>
          <w:sz w:val="24"/>
          <w:szCs w:val="24"/>
        </w:rPr>
      </w:pPr>
      <w:bookmarkStart w:id="1" w:name="_heading=h.gjdgxs" w:colFirst="0" w:colLast="0"/>
      <w:bookmarkEnd w:id="1"/>
      <w:r>
        <w:rPr>
          <w:rFonts w:ascii="Arial" w:eastAsia="Arial" w:hAnsi="Arial" w:cs="Arial"/>
          <w:b/>
          <w:smallCaps/>
          <w:color w:val="000000"/>
          <w:sz w:val="24"/>
          <w:szCs w:val="24"/>
        </w:rPr>
        <w:t>How Framework Prices are used to calculate Call-Off Charges</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4C68F7" w:rsidRDefault="001132BB">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Can be decreased by the Supplier as part of any further competition </w:t>
      </w:r>
      <w:r>
        <w:rPr>
          <w:rFonts w:ascii="Arial" w:eastAsia="Arial" w:hAnsi="Arial" w:cs="Arial"/>
          <w:color w:val="000000"/>
          <w:sz w:val="24"/>
          <w:szCs w:val="24"/>
        </w:rPr>
        <w:t>or at any time.</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Charges:</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 xml:space="preserve">Any variation to </w:t>
      </w:r>
      <w:r>
        <w:rPr>
          <w:rFonts w:ascii="Arial" w:eastAsia="Arial" w:hAnsi="Arial" w:cs="Arial"/>
          <w:color w:val="000000"/>
          <w:sz w:val="24"/>
          <w:szCs w:val="24"/>
        </w:rPr>
        <w:t>the Charges payable under a Call Off Contract must be agreed between the Supplier and the Buyer and implemented using the same procedure for altering Framework Prices in accordance with the provisions of this Framework Schedule 3]</w:t>
      </w:r>
    </w:p>
    <w:p w:rsidR="004C68F7" w:rsidRDefault="001132BB">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How Framework Prices are </w:t>
      </w:r>
      <w:r>
        <w:rPr>
          <w:rFonts w:ascii="Arial" w:eastAsia="Arial" w:hAnsi="Arial" w:cs="Arial"/>
          <w:b/>
          <w:color w:val="000000"/>
          <w:sz w:val="24"/>
          <w:szCs w:val="24"/>
        </w:rPr>
        <w:t>calculated</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4C68F7" w:rsidRDefault="001132BB">
      <w:pPr>
        <w:numPr>
          <w:ilvl w:val="0"/>
          <w:numId w:val="1"/>
        </w:numPr>
        <w:pBdr>
          <w:top w:val="nil"/>
          <w:left w:val="nil"/>
          <w:bottom w:val="nil"/>
          <w:right w:val="nil"/>
          <w:between w:val="nil"/>
        </w:pBdr>
        <w:tabs>
          <w:tab w:val="left" w:pos="142"/>
        </w:tabs>
        <w:spacing w:before="120" w:after="240" w:line="240" w:lineRule="auto"/>
        <w:jc w:val="both"/>
      </w:pPr>
      <w:bookmarkStart w:id="3" w:name="bookmark=id.3znysh7" w:colFirst="0" w:colLast="0"/>
      <w:bookmarkStart w:id="4" w:name="_heading=h.1fob9te" w:colFirst="0" w:colLast="0"/>
      <w:bookmarkEnd w:id="3"/>
      <w:bookmarkEnd w:id="4"/>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lastRenderedPageBreak/>
        <w:t>Except as expressly set out in Paragraph 5 below, or otherwise stated in a Call Off Order Form] the Framework Prices shall include all costs and expenses relating to the provision of Deliverables. No further amounts shall be payable in respect of matters s</w:t>
      </w:r>
      <w:r>
        <w:rPr>
          <w:rFonts w:ascii="Arial" w:eastAsia="Arial" w:hAnsi="Arial" w:cs="Arial"/>
          <w:color w:val="000000"/>
          <w:sz w:val="24"/>
          <w:szCs w:val="24"/>
        </w:rPr>
        <w:t>uch as:</w:t>
      </w:r>
    </w:p>
    <w:p w:rsidR="004C68F7" w:rsidRDefault="001132B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4C68F7" w:rsidRDefault="001132B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w:t>
      </w:r>
      <w:r>
        <w:rPr>
          <w:rFonts w:ascii="Arial" w:eastAsia="Arial" w:hAnsi="Arial" w:cs="Arial"/>
          <w:color w:val="000000"/>
          <w:sz w:val="24"/>
          <w:szCs w:val="24"/>
        </w:rPr>
        <w:t>ement of any Call Off Contract.</w:t>
      </w:r>
    </w:p>
    <w:p w:rsidR="004C68F7" w:rsidRDefault="001132BB">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Framework Prices will be fixed for the Framework Contract Period.  Framework Prices may only be varied in accordance with paragraph 6.</w:t>
      </w:r>
    </w:p>
    <w:p w:rsidR="004C68F7" w:rsidRDefault="001132BB">
      <w:pPr>
        <w:numPr>
          <w:ilvl w:val="0"/>
          <w:numId w:val="1"/>
        </w:numPr>
        <w:pBdr>
          <w:top w:val="nil"/>
          <w:left w:val="nil"/>
          <w:bottom w:val="nil"/>
          <w:right w:val="nil"/>
          <w:between w:val="nil"/>
        </w:pBdr>
        <w:tabs>
          <w:tab w:val="left" w:pos="142"/>
        </w:tabs>
        <w:spacing w:before="120" w:after="240" w:line="240" w:lineRule="auto"/>
        <w:jc w:val="both"/>
      </w:pPr>
      <w:bookmarkStart w:id="5" w:name="_heading=h.2et92p0" w:colFirst="0" w:colLast="0"/>
      <w:bookmarkEnd w:id="5"/>
      <w:r>
        <w:rPr>
          <w:rFonts w:ascii="Arial" w:eastAsia="Arial" w:hAnsi="Arial" w:cs="Arial"/>
          <w:b/>
          <w:color w:val="000000"/>
          <w:sz w:val="24"/>
          <w:szCs w:val="24"/>
        </w:rPr>
        <w:t xml:space="preserve">Other events that allow the </w:t>
      </w:r>
      <w:r>
        <w:rPr>
          <w:rFonts w:ascii="Arial" w:eastAsia="Arial" w:hAnsi="Arial" w:cs="Arial"/>
          <w:b/>
          <w:color w:val="000000"/>
          <w:sz w:val="24"/>
          <w:szCs w:val="24"/>
        </w:rPr>
        <w:t>Supplier to change the Framework Prices</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Due to an Interchange And / </w:t>
      </w:r>
      <w:proofErr w:type="gramStart"/>
      <w:r>
        <w:rPr>
          <w:rFonts w:ascii="Arial" w:eastAsia="Arial" w:hAnsi="Arial" w:cs="Arial"/>
          <w:color w:val="000000"/>
          <w:sz w:val="24"/>
          <w:szCs w:val="24"/>
        </w:rPr>
        <w:t>Or  and</w:t>
      </w:r>
      <w:proofErr w:type="gramEnd"/>
      <w:r>
        <w:rPr>
          <w:rFonts w:ascii="Arial" w:eastAsia="Arial" w:hAnsi="Arial" w:cs="Arial"/>
          <w:color w:val="000000"/>
          <w:sz w:val="24"/>
          <w:szCs w:val="24"/>
        </w:rPr>
        <w:t xml:space="preserve"> Card Scheme Fees Change which the Parties agree means a change is required to all or part of the Framework Prices in accordance </w:t>
      </w:r>
    </w:p>
    <w:p w:rsidR="004C68F7" w:rsidRDefault="001132B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w:t>
      </w:r>
      <w:r>
        <w:rPr>
          <w:rFonts w:ascii="Arial" w:eastAsia="Arial" w:hAnsi="Arial" w:cs="Arial"/>
          <w:color w:val="000000"/>
          <w:sz w:val="24"/>
          <w:szCs w:val="24"/>
        </w:rPr>
        <w:t xml:space="preserve"> the Supplier, which it can make at any time, to decrease the Framework Prices; and</w:t>
      </w:r>
    </w:p>
    <w:p w:rsidR="004C68F7" w:rsidRDefault="001132B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Not Used </w:t>
      </w:r>
    </w:p>
    <w:p w:rsidR="004C68F7" w:rsidRDefault="001132B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When you will be reimbursed for travel and subsistence]</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4C68F7" w:rsidRDefault="001132B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rsidR="004C68F7" w:rsidRDefault="001132B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4C68F7" w:rsidRDefault="001132B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they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For the purposes of paragraph 8.1 of this Schedule, a “</w:t>
      </w:r>
      <w:r>
        <w:rPr>
          <w:rFonts w:ascii="Arial" w:eastAsia="Arial" w:hAnsi="Arial" w:cs="Arial"/>
          <w:b/>
          <w:color w:val="000000"/>
          <w:sz w:val="24"/>
          <w:szCs w:val="24"/>
        </w:rPr>
        <w:t>Time and Materials pricing mechanism</w:t>
      </w:r>
      <w:r>
        <w:rPr>
          <w:rFonts w:ascii="Arial" w:eastAsia="Arial" w:hAnsi="Arial" w:cs="Arial"/>
          <w:color w:val="000000"/>
          <w:sz w:val="24"/>
          <w:szCs w:val="24"/>
        </w:rPr>
        <w:t>” means a pricing mechanism whereby the Buyer agrees to pay the Supplier based upon the work performed by the Supplier's Staff, and for materials used in the project, no matter how much work is required to complete the project. In the event that a Call-Off</w:t>
      </w:r>
      <w:r>
        <w:rPr>
          <w:rFonts w:ascii="Arial" w:eastAsia="Arial" w:hAnsi="Arial" w:cs="Arial"/>
          <w:color w:val="000000"/>
          <w:sz w:val="24"/>
          <w:szCs w:val="24"/>
        </w:rPr>
        <w:t xml:space="preserve"> Contract uses this pricing mechanism the price shall be based upon the prices detailed in Table 1 of Annex 1 to this Framework Schedule 3.</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lastRenderedPageBreak/>
        <w:t xml:space="preserve">The Buyer shall provide a copy of their current expenses policy to the Supplier upon request. </w:t>
      </w:r>
    </w:p>
    <w:p w:rsidR="004C68F7" w:rsidRDefault="001132BB">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sz w:val="24"/>
          <w:szCs w:val="24"/>
        </w:rPr>
      </w:pPr>
      <w:r>
        <w:rPr>
          <w:rFonts w:ascii="Arial" w:eastAsia="Arial" w:hAnsi="Arial" w:cs="Arial"/>
          <w:b/>
          <w:smallCaps/>
          <w:sz w:val="24"/>
          <w:szCs w:val="24"/>
        </w:rPr>
        <w:t xml:space="preserve">INTERCHANGE AND / OR </w:t>
      </w:r>
      <w:r>
        <w:rPr>
          <w:rFonts w:ascii="Arial" w:eastAsia="Arial" w:hAnsi="Arial" w:cs="Arial"/>
          <w:b/>
          <w:smallCaps/>
          <w:sz w:val="24"/>
          <w:szCs w:val="24"/>
        </w:rPr>
        <w:t>CARD SCHEME FEE CHANGES</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Parties acknowledge that the Supplier may be subject to changes in Interchange Fee or Card Scheme Fees during the Framework Contract Period (an “Interchange Fee And / Or Card Scheme Fees Change”).</w:t>
      </w:r>
    </w:p>
    <w:p w:rsidR="004C68F7" w:rsidRDefault="001132B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 Supplier shall pass Scheme </w:t>
      </w:r>
      <w:r>
        <w:rPr>
          <w:rFonts w:ascii="Arial" w:eastAsia="Arial" w:hAnsi="Arial" w:cs="Arial"/>
          <w:color w:val="000000"/>
          <w:sz w:val="24"/>
          <w:szCs w:val="24"/>
        </w:rPr>
        <w:t>fees and Interchange fees at cost i.e. with no Supplier mark up.</w:t>
      </w:r>
    </w:p>
    <w:p w:rsidR="004C68F7" w:rsidRDefault="004C68F7">
      <w:pPr>
        <w:pBdr>
          <w:top w:val="nil"/>
          <w:left w:val="nil"/>
          <w:bottom w:val="nil"/>
          <w:right w:val="nil"/>
          <w:between w:val="nil"/>
        </w:pBdr>
        <w:tabs>
          <w:tab w:val="left" w:pos="1985"/>
          <w:tab w:val="left" w:pos="2127"/>
        </w:tabs>
        <w:spacing w:before="120" w:after="120" w:line="240" w:lineRule="auto"/>
        <w:ind w:left="990" w:hanging="358"/>
        <w:jc w:val="both"/>
        <w:rPr>
          <w:color w:val="000000"/>
        </w:rPr>
      </w:pP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Supplier shall not be entitled to change the Framework Prices as the result of an Interchange Fee And / Or Card Scheme Fees Change until any such change is agreed in writing with the Authority in accordance with the process detailed in paragraph 9.3 an</w:t>
      </w:r>
      <w:r>
        <w:rPr>
          <w:rFonts w:ascii="Arial" w:eastAsia="Arial" w:hAnsi="Arial" w:cs="Arial"/>
          <w:color w:val="000000"/>
          <w:sz w:val="24"/>
          <w:szCs w:val="24"/>
        </w:rPr>
        <w:t>d 9.4 of this Schedule.</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8" w:name="_heading=h.3znysh7" w:colFirst="0" w:colLast="0"/>
      <w:bookmarkEnd w:id="8"/>
      <w:r>
        <w:rPr>
          <w:rFonts w:ascii="Arial" w:eastAsia="Arial" w:hAnsi="Arial" w:cs="Arial"/>
          <w:color w:val="000000"/>
          <w:sz w:val="24"/>
          <w:szCs w:val="24"/>
        </w:rPr>
        <w:t xml:space="preserve">If an Interchange Fee And / Or Card Scheme Fees Change occurs or will occur during the </w:t>
      </w:r>
      <w:proofErr w:type="gramStart"/>
      <w:r>
        <w:rPr>
          <w:rFonts w:ascii="Arial" w:eastAsia="Arial" w:hAnsi="Arial" w:cs="Arial"/>
          <w:color w:val="000000"/>
          <w:sz w:val="24"/>
          <w:szCs w:val="24"/>
        </w:rPr>
        <w:t>Framework  Period</w:t>
      </w:r>
      <w:proofErr w:type="gramEnd"/>
      <w:r>
        <w:rPr>
          <w:rFonts w:ascii="Arial" w:eastAsia="Arial" w:hAnsi="Arial" w:cs="Arial"/>
          <w:color w:val="000000"/>
          <w:sz w:val="24"/>
          <w:szCs w:val="24"/>
        </w:rPr>
        <w:t>, the Supplier shall, in writing:</w:t>
      </w:r>
    </w:p>
    <w:p w:rsidR="004C68F7" w:rsidRDefault="001132BB">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notify the Authority within 21 days of being informed of such a change along with a copy of an</w:t>
      </w:r>
      <w:r>
        <w:rPr>
          <w:rFonts w:ascii="Arial" w:eastAsia="Arial" w:hAnsi="Arial" w:cs="Arial"/>
          <w:color w:val="000000"/>
          <w:sz w:val="24"/>
          <w:szCs w:val="24"/>
        </w:rPr>
        <w:t>y relevant information; and</w:t>
      </w:r>
    </w:p>
    <w:p w:rsidR="004C68F7" w:rsidRDefault="001132BB">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soon as reasonably practicable, inform the Authority of the likely effects of such a change to the Framework Prices or this Framework Agreement, including whether such a change may require a Variation once agreed with the Aut</w:t>
      </w:r>
      <w:r>
        <w:rPr>
          <w:rFonts w:ascii="Arial" w:eastAsia="Arial" w:hAnsi="Arial" w:cs="Arial"/>
          <w:color w:val="000000"/>
          <w:sz w:val="24"/>
          <w:szCs w:val="24"/>
        </w:rPr>
        <w:t>hority; and</w:t>
      </w:r>
    </w:p>
    <w:p w:rsidR="004C68F7" w:rsidRDefault="001132BB">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provide the Authority with further written evidence: </w:t>
      </w:r>
    </w:p>
    <w:p w:rsidR="004C68F7" w:rsidRDefault="001132BB">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that the Supplier shall minimise any increase in costs or maximise any reduction in costs, including in respect of the costs of its Sub-Contractors, resulting from the Interchange Fee And / Or Card Scheme Fees Change;</w:t>
      </w:r>
    </w:p>
    <w:p w:rsidR="004C68F7" w:rsidRDefault="001132BB">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detailing the effect of the Interchang</w:t>
      </w:r>
      <w:r>
        <w:rPr>
          <w:rFonts w:ascii="Arial" w:eastAsia="Arial" w:hAnsi="Arial" w:cs="Arial"/>
          <w:color w:val="000000"/>
          <w:sz w:val="24"/>
          <w:szCs w:val="24"/>
        </w:rPr>
        <w:t>e Fee And / Or Card Scheme Fees Change on the overall cost of providing the Services; and</w:t>
      </w:r>
      <w:r>
        <w:rPr>
          <w:rFonts w:ascii="Arial" w:eastAsia="Arial" w:hAnsi="Arial" w:cs="Arial"/>
          <w:sz w:val="24"/>
          <w:szCs w:val="24"/>
        </w:rPr>
        <w:t xml:space="preserve"> </w:t>
      </w:r>
    </w:p>
    <w:p w:rsidR="004C68F7" w:rsidRDefault="001132BB">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demonstrating that any expenditure that has been avoided, for example which would have been required under the provisions of Call Off Schedule 3 (Continuous Improvem</w:t>
      </w:r>
      <w:r>
        <w:rPr>
          <w:rFonts w:ascii="Arial" w:eastAsia="Arial" w:hAnsi="Arial" w:cs="Arial"/>
          <w:color w:val="000000"/>
          <w:sz w:val="24"/>
          <w:szCs w:val="24"/>
        </w:rPr>
        <w:t xml:space="preserve">ent) and Call Off Schedule 16 (Benchmarking), has been </w:t>
      </w:r>
      <w:proofErr w:type="gramStart"/>
      <w:r>
        <w:rPr>
          <w:rFonts w:ascii="Arial" w:eastAsia="Arial" w:hAnsi="Arial" w:cs="Arial"/>
          <w:color w:val="000000"/>
          <w:sz w:val="24"/>
          <w:szCs w:val="24"/>
        </w:rPr>
        <w:t>taken into account</w:t>
      </w:r>
      <w:proofErr w:type="gramEnd"/>
      <w:r>
        <w:rPr>
          <w:rFonts w:ascii="Arial" w:eastAsia="Arial" w:hAnsi="Arial" w:cs="Arial"/>
          <w:color w:val="000000"/>
          <w:sz w:val="24"/>
          <w:szCs w:val="24"/>
        </w:rPr>
        <w:t xml:space="preserve"> in amending the Framework Prices. </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Parties agree that any change in the Framework Prices shall be implemented in accordance with Clause 24 (Changing the contract).</w:t>
      </w:r>
    </w:p>
    <w:p w:rsidR="004C68F7" w:rsidRDefault="001132BB">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b/>
          <w:smallCaps/>
          <w:color w:val="000000"/>
          <w:sz w:val="24"/>
          <w:szCs w:val="24"/>
        </w:rPr>
      </w:pPr>
      <w:r>
        <w:rPr>
          <w:rFonts w:ascii="Arial" w:eastAsia="Arial" w:hAnsi="Arial" w:cs="Arial"/>
          <w:b/>
          <w:smallCaps/>
          <w:sz w:val="24"/>
          <w:szCs w:val="24"/>
        </w:rPr>
        <w:t>PRICING CONDITIONS</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lastRenderedPageBreak/>
        <w:t xml:space="preserve">The Charges for the services delivered by the Supplier through lots 1 and 2 of the Call-Off Contract must be on an Interchange ++ basis, unless agreed in writing by the Buyer as part of their Call-Off Contract. The Charges will be based </w:t>
      </w:r>
      <w:r>
        <w:rPr>
          <w:rFonts w:ascii="Arial" w:eastAsia="Arial" w:hAnsi="Arial" w:cs="Arial"/>
          <w:color w:val="000000"/>
          <w:sz w:val="24"/>
          <w:szCs w:val="24"/>
        </w:rPr>
        <w:t>on Table 2 of Annex 1 to this Framework Schedule 3 (Prices).</w:t>
      </w:r>
    </w:p>
    <w:p w:rsidR="004C68F7" w:rsidRDefault="001132BB">
      <w:pPr>
        <w:numPr>
          <w:ilvl w:val="0"/>
          <w:numId w:val="1"/>
        </w:numPr>
        <w:pBdr>
          <w:top w:val="nil"/>
          <w:left w:val="nil"/>
          <w:bottom w:val="nil"/>
          <w:right w:val="nil"/>
          <w:between w:val="nil"/>
        </w:pBdr>
        <w:tabs>
          <w:tab w:val="left" w:pos="0"/>
        </w:tabs>
        <w:spacing w:before="240" w:after="240" w:line="240" w:lineRule="auto"/>
        <w:jc w:val="both"/>
        <w:rPr>
          <w:rFonts w:ascii="Arial Bold" w:eastAsia="Arial Bold" w:hAnsi="Arial Bold" w:cs="Arial Bold"/>
          <w:b/>
          <w:smallCaps/>
          <w:color w:val="000000"/>
        </w:rPr>
      </w:pPr>
      <w:r>
        <w:rPr>
          <w:rFonts w:ascii="Arial Bold" w:eastAsia="Arial Bold" w:hAnsi="Arial Bold" w:cs="Arial Bold"/>
          <w:b/>
          <w:smallCaps/>
          <w:color w:val="000000"/>
        </w:rPr>
        <w:t xml:space="preserve">CALCULATING THE </w:t>
      </w:r>
      <w:r>
        <w:rPr>
          <w:rFonts w:ascii="Arial Bold" w:eastAsia="Arial Bold" w:hAnsi="Arial Bold" w:cs="Arial Bold"/>
          <w:b/>
          <w:smallCaps/>
        </w:rPr>
        <w:t>C</w:t>
      </w:r>
      <w:r>
        <w:rPr>
          <w:rFonts w:ascii="Arial Bold" w:eastAsia="Arial Bold" w:hAnsi="Arial Bold" w:cs="Arial Bold"/>
          <w:b/>
          <w:smallCaps/>
          <w:color w:val="000000"/>
        </w:rPr>
        <w:t>HARGES</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Charges shall be calculated by using the appropriate tables as set out within Annex 1 to this Framework Schedule 3, unless the Buyer has agreed otherwise in writing as part of their Call-Off Contract.</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 xml:space="preserve">Unless agreed in writing with the Buyer as part of </w:t>
      </w:r>
      <w:r>
        <w:rPr>
          <w:rFonts w:ascii="Arial" w:eastAsia="Arial" w:hAnsi="Arial" w:cs="Arial"/>
          <w:color w:val="000000"/>
          <w:sz w:val="24"/>
          <w:szCs w:val="24"/>
        </w:rPr>
        <w:t>their Call-Off Contract. The Charges shall be calculated by the Supplier at the end of each calendar month and invoiced 1 month in arrears</w:t>
      </w:r>
    </w:p>
    <w:p w:rsidR="004C68F7" w:rsidRDefault="001132BB">
      <w:pPr>
        <w:numPr>
          <w:ilvl w:val="1"/>
          <w:numId w:val="1"/>
        </w:numPr>
        <w:pBdr>
          <w:top w:val="nil"/>
          <w:left w:val="nil"/>
          <w:bottom w:val="nil"/>
          <w:right w:val="nil"/>
          <w:between w:val="nil"/>
        </w:pBdr>
        <w:tabs>
          <w:tab w:val="left" w:pos="709"/>
        </w:tabs>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For lots 1 and 2, the Calculation of the Charges shall be based on the Volume of, and when applicable the Volume driv</w:t>
      </w:r>
      <w:r>
        <w:rPr>
          <w:rFonts w:ascii="Arial" w:eastAsia="Arial" w:hAnsi="Arial" w:cs="Arial"/>
          <w:color w:val="000000"/>
          <w:sz w:val="24"/>
          <w:szCs w:val="24"/>
        </w:rPr>
        <w:t>en fees threshold, that the Buyer has reached at the time the Charges are calculated</w:t>
      </w:r>
    </w:p>
    <w:p w:rsidR="004C68F7" w:rsidRDefault="001132B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Volume Threshold shall be determined by the cumulative total (the sum of all transactions occurring between the commencement of the Call-Off Contract and the date of c</w:t>
      </w:r>
      <w:r>
        <w:rPr>
          <w:rFonts w:ascii="Arial" w:eastAsia="Arial" w:hAnsi="Arial" w:cs="Arial"/>
          <w:color w:val="000000"/>
          <w:sz w:val="24"/>
          <w:szCs w:val="24"/>
        </w:rPr>
        <w:t xml:space="preserve">alculation) volume of transactions through the Buyer’s Call-Off Contract at the time the Charges are calculated. </w:t>
      </w:r>
    </w:p>
    <w:p w:rsidR="004C68F7" w:rsidRDefault="001132BB">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intent of the volume threshold mechanism is that Buyers will pay less as their transaction volumes increase.</w:t>
      </w:r>
    </w:p>
    <w:p w:rsidR="004C68F7" w:rsidRDefault="001132BB">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Suppliers will be required to</w:t>
      </w:r>
      <w:r>
        <w:rPr>
          <w:rFonts w:ascii="Arial" w:eastAsia="Arial" w:hAnsi="Arial" w:cs="Arial"/>
          <w:color w:val="000000"/>
          <w:sz w:val="24"/>
          <w:szCs w:val="24"/>
        </w:rPr>
        <w:t xml:space="preserve"> report Volume Thresholds as part of the Self Audit Certificate procedure as set out in Framework Schedule 8 </w:t>
      </w:r>
    </w:p>
    <w:p w:rsidR="004C68F7" w:rsidRDefault="004C68F7">
      <w:pPr>
        <w:rPr>
          <w:rFonts w:ascii="Arial" w:eastAsia="Arial" w:hAnsi="Arial" w:cs="Arial"/>
          <w:b/>
          <w:sz w:val="36"/>
          <w:szCs w:val="36"/>
        </w:rPr>
      </w:pPr>
      <w:bookmarkStart w:id="10" w:name="_heading=h.1t3h5sf" w:colFirst="0" w:colLast="0"/>
      <w:bookmarkEnd w:id="10"/>
    </w:p>
    <w:p w:rsidR="004C68F7" w:rsidRDefault="004C68F7">
      <w:pPr>
        <w:rPr>
          <w:rFonts w:ascii="Arial" w:eastAsia="Arial" w:hAnsi="Arial" w:cs="Arial"/>
          <w:b/>
          <w:sz w:val="36"/>
          <w:szCs w:val="36"/>
        </w:rPr>
        <w:sectPr w:rsidR="004C68F7">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EB494E" w:rsidRDefault="00EB494E">
      <w:pPr>
        <w:pBdr>
          <w:top w:val="nil"/>
          <w:left w:val="nil"/>
          <w:bottom w:val="nil"/>
          <w:right w:val="nil"/>
          <w:between w:val="nil"/>
        </w:pBdr>
        <w:spacing w:before="240" w:after="120" w:line="240" w:lineRule="auto"/>
        <w:rPr>
          <w:rFonts w:ascii="Arial" w:eastAsia="Arial" w:hAnsi="Arial" w:cs="Arial"/>
          <w:b/>
          <w:i/>
          <w:color w:val="000000"/>
          <w:sz w:val="24"/>
          <w:szCs w:val="24"/>
        </w:rPr>
      </w:pPr>
    </w:p>
    <w:p w:rsidR="00EB494E" w:rsidRDefault="00EB494E" w:rsidP="00EB494E">
      <w:pPr>
        <w:rPr>
          <w:rFonts w:ascii="Arial" w:eastAsia="Arial" w:hAnsi="Arial" w:cs="Arial"/>
          <w:b/>
          <w:sz w:val="36"/>
          <w:szCs w:val="36"/>
        </w:rPr>
      </w:pPr>
      <w:r>
        <w:rPr>
          <w:rFonts w:ascii="Arial" w:eastAsia="Arial" w:hAnsi="Arial" w:cs="Arial"/>
          <w:b/>
          <w:sz w:val="36"/>
          <w:szCs w:val="36"/>
        </w:rPr>
        <w:t>Annex 1: Rates and Prices</w:t>
      </w:r>
    </w:p>
    <w:p w:rsidR="00EB494E" w:rsidRDefault="00EB494E" w:rsidP="00EB494E">
      <w:pPr>
        <w:rPr>
          <w:rFonts w:ascii="Arial" w:eastAsia="Arial" w:hAnsi="Arial" w:cs="Arial"/>
          <w:sz w:val="24"/>
          <w:szCs w:val="24"/>
        </w:rPr>
      </w:pPr>
    </w:p>
    <w:p w:rsidR="004C68F7" w:rsidRPr="00EB494E" w:rsidRDefault="00EB494E" w:rsidP="00EB494E">
      <w:pPr>
        <w:tabs>
          <w:tab w:val="left" w:pos="2160"/>
        </w:tabs>
        <w:rPr>
          <w:rFonts w:ascii="Arial" w:eastAsia="Arial" w:hAnsi="Arial" w:cs="Arial"/>
          <w:b/>
          <w:sz w:val="24"/>
          <w:szCs w:val="24"/>
        </w:rPr>
      </w:pPr>
      <w:r w:rsidRPr="00EB494E">
        <w:rPr>
          <w:rFonts w:ascii="Arial" w:eastAsia="Arial" w:hAnsi="Arial" w:cs="Arial"/>
          <w:b/>
          <w:sz w:val="24"/>
          <w:szCs w:val="24"/>
        </w:rPr>
        <w:t>Redacte</w:t>
      </w:r>
      <w:bookmarkStart w:id="11" w:name="_GoBack"/>
      <w:bookmarkEnd w:id="11"/>
      <w:r w:rsidRPr="00EB494E">
        <w:rPr>
          <w:rFonts w:ascii="Arial" w:eastAsia="Arial" w:hAnsi="Arial" w:cs="Arial"/>
          <w:b/>
          <w:sz w:val="24"/>
          <w:szCs w:val="24"/>
        </w:rPr>
        <w:t>d under FOIA section 43, Commercial Interests</w:t>
      </w:r>
      <w:r w:rsidRPr="00EB494E">
        <w:rPr>
          <w:rFonts w:ascii="Arial" w:eastAsia="Arial" w:hAnsi="Arial" w:cs="Arial"/>
          <w:sz w:val="24"/>
          <w:szCs w:val="24"/>
        </w:rPr>
        <w:tab/>
      </w:r>
      <w:bookmarkStart w:id="12" w:name="_heading=h.4d34og8" w:colFirst="0" w:colLast="0"/>
      <w:bookmarkEnd w:id="12"/>
    </w:p>
    <w:sectPr w:rsidR="004C68F7" w:rsidRPr="00EB494E">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32BB" w:rsidRDefault="001132BB">
      <w:pPr>
        <w:spacing w:after="0" w:line="240" w:lineRule="auto"/>
      </w:pPr>
      <w:r>
        <w:separator/>
      </w:r>
    </w:p>
  </w:endnote>
  <w:endnote w:type="continuationSeparator" w:id="0">
    <w:p w:rsidR="001132BB" w:rsidRDefault="00113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8F7" w:rsidRDefault="001132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B494E">
      <w:rPr>
        <w:rFonts w:ascii="Arial" w:eastAsia="Arial" w:hAnsi="Arial" w:cs="Arial"/>
        <w:color w:val="000000"/>
        <w:sz w:val="20"/>
        <w:szCs w:val="20"/>
      </w:rPr>
      <w:fldChar w:fldCharType="separate"/>
    </w:r>
    <w:r w:rsidR="00EB494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C68F7" w:rsidRDefault="001132BB">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8F7" w:rsidRDefault="001132BB">
    <w:pPr>
      <w:tabs>
        <w:tab w:val="center" w:pos="4513"/>
        <w:tab w:val="right" w:pos="9026"/>
      </w:tabs>
      <w:spacing w:after="0"/>
    </w:pPr>
    <w:r>
      <w:t>Framework Ref: RM</w:t>
    </w:r>
    <w:r>
      <w:tab/>
      <w:t xml:space="preserve">                                           </w:t>
    </w:r>
  </w:p>
  <w:p w:rsidR="004C68F7" w:rsidRDefault="001132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4C68F7" w:rsidRDefault="001132BB">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32BB" w:rsidRDefault="001132BB">
      <w:pPr>
        <w:spacing w:after="0" w:line="240" w:lineRule="auto"/>
      </w:pPr>
      <w:r>
        <w:separator/>
      </w:r>
    </w:p>
  </w:footnote>
  <w:footnote w:type="continuationSeparator" w:id="0">
    <w:p w:rsidR="001132BB" w:rsidRDefault="001132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8F7" w:rsidRDefault="001132B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4C68F7" w:rsidRDefault="001132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8F7" w:rsidRDefault="001132B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4C68F7" w:rsidRDefault="001132B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C120F1"/>
    <w:multiLevelType w:val="multilevel"/>
    <w:tmpl w:val="E39431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7E15D1"/>
    <w:multiLevelType w:val="multilevel"/>
    <w:tmpl w:val="6E2880E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B5A34F3"/>
    <w:multiLevelType w:val="multilevel"/>
    <w:tmpl w:val="2E224BE4"/>
    <w:lvl w:ilvl="0">
      <w:start w:val="2"/>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8F7"/>
    <w:rsid w:val="001132BB"/>
    <w:rsid w:val="004C68F7"/>
    <w:rsid w:val="00EB49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15DA"/>
  <w15:docId w15:val="{BF6B64C2-8429-4AE7-A629-858A067AC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GPSL5numberedclauseChar">
    <w:name w:val="GPS L5 numbered clause Char"/>
    <w:link w:val="GPSL5numberedclause"/>
    <w:locked/>
    <w:rsid w:val="00C11BAF"/>
    <w:rPr>
      <w:rFonts w:eastAsia="Times New Roman" w:cs="Arial"/>
      <w:szCs w:val="20"/>
      <w:lang w:eastAsia="zh-CN"/>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numbering" w:customStyle="1" w:styleId="LFO12">
    <w:name w:val="LFO12"/>
    <w:basedOn w:val="NoList"/>
    <w:rsid w:val="00151063"/>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dbRjppEkpagIANURT6tR7o/GSw==">CgMxLjAyCWguM3JkY3JqbjIIaC5namRneHMyCWguMzBqMHpsbDIKaWQuM3pueXNoNzIJaC4xZm9iOXRlMgloLjJldDkycDAyCGgudHlqY3d0MgloLjNkeTZ2a20yCWguM3pueXNoNzIJaC4yczhleW8xMgloLjF0M2g1c2YyCWguNGQzNG9nODgAciExcV9WMnplcmlGMkFnWlBTVnZ4S01mZllSRHFRQ052T3Q=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1115</Words>
  <Characters>6361</Characters>
  <Application>Microsoft Office Word</Application>
  <DocSecurity>0</DocSecurity>
  <Lines>53</Lines>
  <Paragraphs>14</Paragraphs>
  <ScaleCrop>false</ScaleCrop>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Julia Lambeth</cp:lastModifiedBy>
  <cp:revision>2</cp:revision>
  <dcterms:created xsi:type="dcterms:W3CDTF">2023-08-23T16:47:00Z</dcterms:created>
  <dcterms:modified xsi:type="dcterms:W3CDTF">2023-11-30T11:53:00Z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